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1304AF0F"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467BA4">
        <w:t>4</w:t>
      </w:r>
      <w:r w:rsidR="005420B4">
        <w:t>.</w:t>
      </w:r>
      <w:r w:rsidR="00F60A53">
        <w:t xml:space="preserve"> </w:t>
      </w:r>
      <w:r w:rsidR="00467BA4">
        <w:t>dubna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69FFC0B0"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proofErr w:type="spellStart"/>
      <w:r w:rsidRPr="00A01EEF">
        <w:rPr>
          <w:rStyle w:val="normaltextrun"/>
          <w:rFonts w:ascii="Arial" w:hAnsi="Arial" w:cs="Arial"/>
          <w:b/>
          <w:bCs/>
          <w:color w:val="000000"/>
          <w:sz w:val="28"/>
          <w:szCs w:val="28"/>
          <w:lang w:val="cs-CZ"/>
        </w:rPr>
        <w:t>Fidelity</w:t>
      </w:r>
      <w:proofErr w:type="spellEnd"/>
      <w:r w:rsidRPr="00A01EEF">
        <w:rPr>
          <w:rStyle w:val="normaltextrun"/>
          <w:rFonts w:ascii="Arial" w:hAnsi="Arial" w:cs="Arial"/>
          <w:b/>
          <w:bCs/>
          <w:color w:val="000000"/>
          <w:sz w:val="28"/>
          <w:szCs w:val="28"/>
          <w:lang w:val="cs-CZ"/>
        </w:rPr>
        <w:t xml:space="preserve"> International</w:t>
      </w:r>
      <w:r w:rsidR="00694CCF">
        <w:rPr>
          <w:rStyle w:val="normaltextrun"/>
          <w:rFonts w:ascii="Arial" w:hAnsi="Arial" w:cs="Arial"/>
          <w:b/>
          <w:bCs/>
          <w:color w:val="000000"/>
          <w:sz w:val="28"/>
          <w:szCs w:val="28"/>
          <w:lang w:val="cs-CZ"/>
        </w:rPr>
        <w:t xml:space="preserve">: </w:t>
      </w:r>
      <w:r w:rsidR="00467BA4">
        <w:rPr>
          <w:rStyle w:val="normaltextrun"/>
          <w:rFonts w:ascii="Arial" w:hAnsi="Arial" w:cs="Arial"/>
          <w:b/>
          <w:bCs/>
          <w:color w:val="000000"/>
          <w:sz w:val="28"/>
          <w:szCs w:val="28"/>
          <w:lang w:val="cs-CZ"/>
        </w:rPr>
        <w:t>Soukromé úvěry jsou alternativou v době, kdy roste tlak na bankovnictví</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7355F74C" w:rsidR="006B6F61" w:rsidRDefault="00467BA4"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Soukromý dluh se může stát důležitým zdrojem kapitálu pro evropské společnosti, protože banky v důsledku rostoucích sazeb a většího důrazu na regulační požadavky zpřísňují úvěrové požadavky.</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647FE70B" w14:textId="543ABAFF" w:rsidR="00A01EEF" w:rsidRPr="002C1698" w:rsidRDefault="00467BA4" w:rsidP="002C1698">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 xml:space="preserve">Dohoda mezi UBS a </w:t>
      </w:r>
      <w:proofErr w:type="spellStart"/>
      <w:r>
        <w:rPr>
          <w:rFonts w:ascii="Arial" w:hAnsi="Arial" w:cs="Arial"/>
          <w:sz w:val="20"/>
          <w:szCs w:val="20"/>
          <w:lang w:val="cs-CZ" w:eastAsia="cs-CZ"/>
        </w:rPr>
        <w:t>Credit</w:t>
      </w:r>
      <w:proofErr w:type="spellEnd"/>
      <w:r>
        <w:rPr>
          <w:rFonts w:ascii="Arial" w:hAnsi="Arial" w:cs="Arial"/>
          <w:sz w:val="20"/>
          <w:szCs w:val="20"/>
          <w:lang w:val="cs-CZ" w:eastAsia="cs-CZ"/>
        </w:rPr>
        <w:t xml:space="preserve"> </w:t>
      </w:r>
      <w:proofErr w:type="spellStart"/>
      <w:r>
        <w:rPr>
          <w:rFonts w:ascii="Arial" w:hAnsi="Arial" w:cs="Arial"/>
          <w:sz w:val="20"/>
          <w:szCs w:val="20"/>
          <w:lang w:val="cs-CZ" w:eastAsia="cs-CZ"/>
        </w:rPr>
        <w:t>Suisse</w:t>
      </w:r>
      <w:proofErr w:type="spellEnd"/>
      <w:r>
        <w:rPr>
          <w:rFonts w:ascii="Arial" w:hAnsi="Arial" w:cs="Arial"/>
          <w:sz w:val="20"/>
          <w:szCs w:val="20"/>
          <w:lang w:val="cs-CZ" w:eastAsia="cs-CZ"/>
        </w:rPr>
        <w:t xml:space="preserve"> sice zažehnala bezprostřední hrozbu bankovní krize, ale po fúzi dvou největších evropských bank, krachu Silicon </w:t>
      </w:r>
      <w:proofErr w:type="spellStart"/>
      <w:r>
        <w:rPr>
          <w:rFonts w:ascii="Arial" w:hAnsi="Arial" w:cs="Arial"/>
          <w:sz w:val="20"/>
          <w:szCs w:val="20"/>
          <w:lang w:val="cs-CZ" w:eastAsia="cs-CZ"/>
        </w:rPr>
        <w:t>Valley</w:t>
      </w:r>
      <w:proofErr w:type="spellEnd"/>
      <w:r>
        <w:rPr>
          <w:rFonts w:ascii="Arial" w:hAnsi="Arial" w:cs="Arial"/>
          <w:sz w:val="20"/>
          <w:szCs w:val="20"/>
          <w:lang w:val="cs-CZ" w:eastAsia="cs-CZ"/>
        </w:rPr>
        <w:t xml:space="preserve"> Bank a dalších dvou menších amerických institucí je zřejmé, že sektor je pod tlakem a že problémy, kterým banky čelí, mohou trvat delší dobu. </w:t>
      </w:r>
    </w:p>
    <w:p w14:paraId="12A177B5" w14:textId="3C82E258" w:rsidR="006F4F09" w:rsidRPr="00467BA4" w:rsidRDefault="0069509B" w:rsidP="006F4F09">
      <w:pPr>
        <w:spacing w:after="210" w:line="276" w:lineRule="auto"/>
      </w:pPr>
      <w:r w:rsidRPr="0069509B">
        <w:rPr>
          <w:i/>
          <w:iCs/>
        </w:rPr>
        <w:t>„</w:t>
      </w:r>
      <w:r w:rsidR="00467BA4" w:rsidRPr="0069509B">
        <w:rPr>
          <w:i/>
          <w:iCs/>
        </w:rPr>
        <w:t>Nedomníváme se, že by hrozil kolaps celého bankovního systému: banky jsou nyní v silnější pozici než kdykoli před globální finanční krizi, mají lepší kapitálové krytí, jsou i silnější, co se týče ukazatelů krytí likvidity. Otřesy v některých částech bankovního trhu však pravděpodobně urychlí ústup od poskytování úvěrů podnikům – zejména rizikovějším firmám a středním podnikům – s tím, jak se zvyšují vlastní náklady na financování a zpřísňují se regulatorní požadavky. To může vytvořit další příležitosti pro soukromé zapůjčovatele, kteří by mohli nastoupit na místo bank</w:t>
      </w:r>
      <w:r w:rsidRPr="0069509B">
        <w:rPr>
          <w:i/>
          <w:iCs/>
        </w:rPr>
        <w:t>,“</w:t>
      </w:r>
      <w:r>
        <w:t xml:space="preserve"> </w:t>
      </w:r>
      <w:r w:rsidR="00EB3306">
        <w:t>říká</w:t>
      </w:r>
      <w:r>
        <w:t xml:space="preserve"> Michael </w:t>
      </w:r>
      <w:proofErr w:type="spellStart"/>
      <w:r>
        <w:t>Curtis</w:t>
      </w:r>
      <w:proofErr w:type="spellEnd"/>
      <w:r>
        <w:t xml:space="preserve">, analytik </w:t>
      </w:r>
      <w:proofErr w:type="spellStart"/>
      <w:r>
        <w:t>Fidelity</w:t>
      </w:r>
      <w:proofErr w:type="spellEnd"/>
      <w:r>
        <w:t xml:space="preserve"> International.</w:t>
      </w:r>
    </w:p>
    <w:p w14:paraId="39CC2884" w14:textId="1352EFA6" w:rsidR="006B6F61" w:rsidRPr="006F4F09" w:rsidRDefault="00467BA4" w:rsidP="006B6F61">
      <w:pPr>
        <w:spacing w:after="210" w:line="276" w:lineRule="auto"/>
      </w:pPr>
      <w:r>
        <w:rPr>
          <w:rFonts w:eastAsiaTheme="minorHAnsi"/>
          <w:b/>
          <w:lang w:eastAsia="en-US"/>
        </w:rPr>
        <w:t>Seismický posun</w:t>
      </w:r>
    </w:p>
    <w:p w14:paraId="2CC01251" w14:textId="07100ED1" w:rsidR="006F4F09" w:rsidRDefault="00467BA4" w:rsidP="006F4F09">
      <w:pPr>
        <w:spacing w:line="276" w:lineRule="auto"/>
      </w:pPr>
      <w:r>
        <w:t>Ještě před sérií likvidních událostí v posledních několika týdnech se vyhlídky bank měnily. Průzkum ECB o bankovních úvěrech již upozornil na výrazné zpřísnění úvěrových standardů v</w:t>
      </w:r>
      <w:r w:rsidR="00832A31">
        <w:t> </w:t>
      </w:r>
      <w:r>
        <w:t>Evropě</w:t>
      </w:r>
      <w:r w:rsidR="00832A31">
        <w:t>, v prostředí rostoucích sazeb</w:t>
      </w:r>
      <w:r>
        <w:t>.</w:t>
      </w:r>
      <w:r w:rsidR="00832A31">
        <w:t xml:space="preserve"> Tento trend se po událostech posledních týdnů pravděpodobně jen zrychlí.</w:t>
      </w:r>
      <w:r>
        <w:t xml:space="preserve"> </w:t>
      </w:r>
    </w:p>
    <w:p w14:paraId="0E1515EF" w14:textId="59F73988" w:rsidR="00EB3306" w:rsidRDefault="00EB3306" w:rsidP="00EB3306">
      <w:pPr>
        <w:pStyle w:val="F2-zkladn"/>
      </w:pPr>
    </w:p>
    <w:p w14:paraId="7C66E9B9" w14:textId="13215DD0" w:rsidR="00EB3306" w:rsidRDefault="00EB3306" w:rsidP="00EB3306">
      <w:pPr>
        <w:pStyle w:val="F2-zkladn"/>
      </w:pPr>
    </w:p>
    <w:p w14:paraId="0218B4EE" w14:textId="08E1C310" w:rsidR="00EB3306" w:rsidRDefault="00EB3306" w:rsidP="00EB3306">
      <w:pPr>
        <w:pStyle w:val="F2-zkladn"/>
      </w:pPr>
    </w:p>
    <w:p w14:paraId="580503EC" w14:textId="53744DAA" w:rsidR="00EB3306" w:rsidRDefault="00EB3306" w:rsidP="00EB3306">
      <w:pPr>
        <w:pStyle w:val="F2-zkladn"/>
      </w:pPr>
    </w:p>
    <w:p w14:paraId="2FD4549E" w14:textId="7FBEED6A" w:rsidR="00EB3306" w:rsidRDefault="00EB3306" w:rsidP="00EB3306">
      <w:pPr>
        <w:pStyle w:val="F2-zkladn"/>
      </w:pPr>
    </w:p>
    <w:p w14:paraId="5AA6E84D" w14:textId="502AC849" w:rsidR="00EB3306" w:rsidRDefault="00EB3306" w:rsidP="00EB3306">
      <w:pPr>
        <w:pStyle w:val="F2-zkladn"/>
      </w:pPr>
    </w:p>
    <w:p w14:paraId="14526B18" w14:textId="38E331A4" w:rsidR="00EB3306" w:rsidRDefault="00EB3306" w:rsidP="00EB3306">
      <w:pPr>
        <w:pStyle w:val="F2-zkladn"/>
      </w:pPr>
    </w:p>
    <w:p w14:paraId="41FDBFB7" w14:textId="0542B3FD" w:rsidR="00EB3306" w:rsidRPr="006F4F09" w:rsidRDefault="00EB3306" w:rsidP="00EB3306">
      <w:pPr>
        <w:spacing w:after="210" w:line="276" w:lineRule="auto"/>
      </w:pPr>
      <w:r>
        <w:rPr>
          <w:rFonts w:eastAsiaTheme="minorHAnsi"/>
          <w:b/>
          <w:lang w:eastAsia="en-US"/>
        </w:rPr>
        <w:lastRenderedPageBreak/>
        <w:t xml:space="preserve">Graf: Zpřísnění úvěrových standardů v eurozóně </w:t>
      </w:r>
    </w:p>
    <w:p w14:paraId="29890F3E" w14:textId="77777777" w:rsidR="00EB3306" w:rsidRDefault="00EB3306" w:rsidP="00832A31">
      <w:pPr>
        <w:spacing w:after="210" w:line="240" w:lineRule="auto"/>
      </w:pPr>
      <w:r w:rsidRPr="00EB3306">
        <w:drawing>
          <wp:inline distT="0" distB="0" distL="0" distR="0" wp14:anchorId="22E87A0B" wp14:editId="53FE251C">
            <wp:extent cx="5759450" cy="2716530"/>
            <wp:effectExtent l="0" t="0" r="0" b="7620"/>
            <wp:docPr id="106846143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461435" name=""/>
                    <pic:cNvPicPr/>
                  </pic:nvPicPr>
                  <pic:blipFill>
                    <a:blip r:embed="rId12"/>
                    <a:stretch>
                      <a:fillRect/>
                    </a:stretch>
                  </pic:blipFill>
                  <pic:spPr>
                    <a:xfrm>
                      <a:off x="0" y="0"/>
                      <a:ext cx="5759450" cy="2716530"/>
                    </a:xfrm>
                    <a:prstGeom prst="rect">
                      <a:avLst/>
                    </a:prstGeom>
                  </pic:spPr>
                </pic:pic>
              </a:graphicData>
            </a:graphic>
          </wp:inline>
        </w:drawing>
      </w:r>
    </w:p>
    <w:p w14:paraId="5F8B88E8" w14:textId="77777777" w:rsidR="00EB3306" w:rsidRPr="00832A31" w:rsidRDefault="00EB3306" w:rsidP="00EB3306">
      <w:pPr>
        <w:spacing w:after="210" w:line="240" w:lineRule="auto"/>
        <w:rPr>
          <w:rFonts w:ascii="Times New Roman" w:hAnsi="Times New Roman" w:cs="Times New Roman"/>
          <w:sz w:val="24"/>
          <w:szCs w:val="24"/>
        </w:rPr>
      </w:pPr>
      <w:r>
        <w:t xml:space="preserve">Rostoucí omezování bankovních úvěrů však sahá mnohem dále než k nedávným změnám sazeb. Jedním z důvodů, proč je bankovní sektor mnohem robustnější než v roce 2008, je restriktivní regulační prostředí, které se zde vytvořilo. Od doby velké finanční krize se velká část bankovní regulace zaměřila na požadavky bank při poskytování úvěrů, přičemž zejména </w:t>
      </w:r>
      <w:proofErr w:type="spellStart"/>
      <w:r>
        <w:t>Basel</w:t>
      </w:r>
      <w:proofErr w:type="spellEnd"/>
      <w:r>
        <w:t xml:space="preserve"> </w:t>
      </w:r>
      <w:r w:rsidRPr="00832A31">
        <w:t>III</w:t>
      </w:r>
      <w:r>
        <w:t xml:space="preserve"> </w:t>
      </w:r>
      <w:r w:rsidRPr="00832A31">
        <w:t>zvýšil minimální kapitálové požadavky bank a omezil úroveň zadlužení. Po posledních pádech bank v Kalifornii a Švýcarsku se toto pravděpodobně ještě zpřísní.</w:t>
      </w:r>
    </w:p>
    <w:p w14:paraId="571EECFD" w14:textId="48A84F80" w:rsidR="00EB3306" w:rsidRPr="00EB3306" w:rsidRDefault="00832A31" w:rsidP="00FA710D">
      <w:pPr>
        <w:spacing w:after="210" w:line="240" w:lineRule="auto"/>
      </w:pPr>
      <w:r w:rsidRPr="00832A31">
        <w:t xml:space="preserve">To nemusí být nutně negativní pro větší, významné banky, které jsou již nyní pod přísným dohledem regulátorů, ale pád menší SVB by mohl zaměřit pozornost regulátorů na regionální a lokální banky – tradiční věřitele středně velkých firem – a zde bychom mohli být svědky nejprudšího poklesu objemu úvěrů. Ze všech financování pomocí </w:t>
      </w:r>
      <w:proofErr w:type="spellStart"/>
      <w:r w:rsidRPr="00832A31">
        <w:t>unitranche</w:t>
      </w:r>
      <w:proofErr w:type="spellEnd"/>
      <w:r w:rsidRPr="00832A31">
        <w:t xml:space="preserve"> sjednaných v Evropě v roce 2022 banky půjčily přibližně 45 % v Německu, 52 % ve Francii a 77 % v Rakousku/Švýcarsku. </w:t>
      </w:r>
    </w:p>
    <w:p w14:paraId="1C29A707" w14:textId="33656CA8" w:rsidR="00484668" w:rsidRPr="006F4F09" w:rsidRDefault="00832A31" w:rsidP="00484668">
      <w:pPr>
        <w:spacing w:after="210" w:line="276" w:lineRule="auto"/>
      </w:pPr>
      <w:r>
        <w:rPr>
          <w:rFonts w:eastAsiaTheme="minorHAnsi"/>
          <w:b/>
          <w:lang w:eastAsia="en-US"/>
        </w:rPr>
        <w:t>Soukromá možnost</w:t>
      </w:r>
    </w:p>
    <w:p w14:paraId="5BE2BFEF" w14:textId="10437EB8" w:rsidR="00FA710D" w:rsidRPr="00FA710D" w:rsidRDefault="00832A31" w:rsidP="00FA710D">
      <w:pPr>
        <w:spacing w:after="210" w:line="240" w:lineRule="auto"/>
      </w:pPr>
      <w:r w:rsidRPr="00832A31">
        <w:t xml:space="preserve">Po patnácti letech od velké finanční krize soukromí věřitelé posílili, takže podnikům mohou poskytnout alternativní zdroj financování. </w:t>
      </w:r>
      <w:r w:rsidR="00EB3306" w:rsidRPr="00EB3306">
        <w:rPr>
          <w:i/>
          <w:iCs/>
        </w:rPr>
        <w:t>„</w:t>
      </w:r>
      <w:r w:rsidRPr="00EB3306">
        <w:rPr>
          <w:i/>
          <w:iCs/>
        </w:rPr>
        <w:t>Domníváme se, že nyní – kdy se úvěry od bank budou ještě více omezovat a náklady na financování porostou – by role, kterou budou hrát soukromé dluhové trhy, mohla být ještě důležitější</w:t>
      </w:r>
      <w:r w:rsidR="00EB3306" w:rsidRPr="00EB3306">
        <w:rPr>
          <w:i/>
          <w:iCs/>
        </w:rPr>
        <w:t xml:space="preserve">,“ </w:t>
      </w:r>
      <w:r w:rsidR="00EB3306">
        <w:t xml:space="preserve">uvádí Michael </w:t>
      </w:r>
      <w:proofErr w:type="spellStart"/>
      <w:r w:rsidR="00EB3306">
        <w:t>Curtis</w:t>
      </w:r>
      <w:proofErr w:type="spellEnd"/>
      <w:r w:rsidR="00EB3306">
        <w:t>.</w:t>
      </w:r>
    </w:p>
    <w:p w14:paraId="7DD7B3D4" w14:textId="57699225" w:rsidR="00832A31" w:rsidRDefault="00832A31" w:rsidP="00832A31">
      <w:pPr>
        <w:spacing w:after="210" w:line="240" w:lineRule="auto"/>
      </w:pPr>
      <w:r w:rsidRPr="00832A31">
        <w:t xml:space="preserve">Poptávka po úvěrech ze soukromých rukou se v posledních letech zvýšila, protože věřitelé využili útlumu bank. Jen objem evropských aktiv přímo z úvěrů dosáhl v polovině roku 2022 216 miliard dolarů. Nedávné potíže </w:t>
      </w:r>
      <w:proofErr w:type="spellStart"/>
      <w:r w:rsidRPr="00832A31">
        <w:t>Credit</w:t>
      </w:r>
      <w:proofErr w:type="spellEnd"/>
      <w:r w:rsidRPr="00832A31">
        <w:t xml:space="preserve"> </w:t>
      </w:r>
      <w:proofErr w:type="spellStart"/>
      <w:r w:rsidRPr="00832A31">
        <w:t>Suisse</w:t>
      </w:r>
      <w:proofErr w:type="spellEnd"/>
      <w:r w:rsidRPr="00832A31">
        <w:t xml:space="preserve"> a zejména SVB nejenže vedly k odchodu významných konkurentů ze zápůjčního trhu, ale mohly by také znamenat, že se na sekundárním trhu objeví nové příležitosti pro soukromé investice.</w:t>
      </w:r>
    </w:p>
    <w:p w14:paraId="2E29BB0B" w14:textId="20F1975E" w:rsidR="00832A31" w:rsidRPr="00832A31" w:rsidRDefault="00EB3306" w:rsidP="00832A31">
      <w:pPr>
        <w:spacing w:after="210" w:line="240" w:lineRule="auto"/>
      </w:pPr>
      <w:r w:rsidRPr="00EB3306">
        <w:rPr>
          <w:i/>
          <w:iCs/>
        </w:rPr>
        <w:t>„</w:t>
      </w:r>
      <w:r w:rsidR="00832A31" w:rsidRPr="00EB3306">
        <w:rPr>
          <w:i/>
          <w:iCs/>
        </w:rPr>
        <w:t>Náš pozitivní výhled, co se týče soukromých úvěrů, však nevyplývá pouze z šance převzít aktiva od bank, které se potýkají s problémy. Obecně očekáváme, že se na soukromých úvěrových trzích objeví obrovské příležitosti, a předpokládáme, že tento rok bude obzvláště atraktivní, co se týče obchodů</w:t>
      </w:r>
      <w:r w:rsidRPr="00EB3306">
        <w:rPr>
          <w:i/>
          <w:iCs/>
        </w:rPr>
        <w:t>,“</w:t>
      </w:r>
      <w:r>
        <w:t xml:space="preserve"> vysvětluje </w:t>
      </w:r>
      <w:r>
        <w:t xml:space="preserve">Michael </w:t>
      </w:r>
      <w:proofErr w:type="spellStart"/>
      <w:r>
        <w:t>Curtis</w:t>
      </w:r>
      <w:proofErr w:type="spellEnd"/>
      <w:r>
        <w:t>.</w:t>
      </w:r>
    </w:p>
    <w:p w14:paraId="7F0091A2" w14:textId="77777777" w:rsidR="00FA710D" w:rsidRDefault="00832A31" w:rsidP="00FA710D">
      <w:pPr>
        <w:spacing w:after="210" w:line="276" w:lineRule="auto"/>
      </w:pPr>
      <w:r w:rsidRPr="00832A31">
        <w:t xml:space="preserve">Vzhledem k tomu, že nerovnováha mezi nabídkou a poptávkou se mění ve prospěch věřitelů, budeme pravděpodobně svědky transakcí s nižšími dluhy, lepší dokumentací a ochrannými opatřeními. S rostoucími základními sazbami i maržemi představují výnosy očištěné o riziko, které mají soukromí </w:t>
      </w:r>
      <w:r w:rsidR="00FA710D" w:rsidRPr="00832A31">
        <w:t>věřitelé k dispozici, atraktivní nabídku a s tím, jak se banky stále více vyhýbají riziku a ustupují od poskytování úvěrů, se tento trend bude pravděpodobně jen rozšiřovat.</w:t>
      </w:r>
    </w:p>
    <w:p w14:paraId="6EF6DD64" w14:textId="32443DB8" w:rsidR="00FA710D" w:rsidRPr="00FA710D" w:rsidRDefault="00FA710D" w:rsidP="00FA710D">
      <w:pPr>
        <w:spacing w:after="210" w:line="276" w:lineRule="auto"/>
      </w:pPr>
      <w:r>
        <w:rPr>
          <w:rFonts w:eastAsiaTheme="minorHAnsi"/>
          <w:b/>
          <w:lang w:eastAsia="en-US"/>
        </w:rPr>
        <w:lastRenderedPageBreak/>
        <w:t>Graf: Náklady na financování v amerických bankách</w:t>
      </w:r>
    </w:p>
    <w:p w14:paraId="08D29398" w14:textId="75D12FD5" w:rsidR="00832A31" w:rsidRDefault="00FA710D" w:rsidP="00832A31">
      <w:pPr>
        <w:spacing w:after="210" w:line="240" w:lineRule="auto"/>
      </w:pPr>
      <w:r w:rsidRPr="00FA710D">
        <w:rPr>
          <w:lang w:eastAsia="en-US"/>
        </w:rPr>
        <w:drawing>
          <wp:inline distT="0" distB="0" distL="0" distR="0" wp14:anchorId="182D62AA" wp14:editId="160CCF42">
            <wp:extent cx="5759450" cy="2371090"/>
            <wp:effectExtent l="0" t="0" r="0" b="0"/>
            <wp:docPr id="534767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76755" name=""/>
                    <pic:cNvPicPr/>
                  </pic:nvPicPr>
                  <pic:blipFill>
                    <a:blip r:embed="rId13"/>
                    <a:stretch>
                      <a:fillRect/>
                    </a:stretch>
                  </pic:blipFill>
                  <pic:spPr>
                    <a:xfrm>
                      <a:off x="0" y="0"/>
                      <a:ext cx="5759450" cy="2371090"/>
                    </a:xfrm>
                    <a:prstGeom prst="rect">
                      <a:avLst/>
                    </a:prstGeom>
                  </pic:spPr>
                </pic:pic>
              </a:graphicData>
            </a:graphic>
          </wp:inline>
        </w:drawing>
      </w:r>
    </w:p>
    <w:p w14:paraId="4E0A4DFF" w14:textId="77777777" w:rsidR="00FA710D" w:rsidRPr="00FA710D" w:rsidRDefault="00FA710D" w:rsidP="00832A31">
      <w:pPr>
        <w:spacing w:after="210" w:line="240" w:lineRule="auto"/>
        <w:rPr>
          <w:i/>
          <w:iCs/>
          <w:sz w:val="16"/>
          <w:szCs w:val="16"/>
        </w:rPr>
      </w:pPr>
      <w:r w:rsidRPr="00FA710D">
        <w:rPr>
          <w:i/>
          <w:iCs/>
          <w:sz w:val="16"/>
          <w:szCs w:val="16"/>
        </w:rPr>
        <w:t xml:space="preserve">Odvětvové čtvrtletní náklady na financování výnosných aktiv podle velikosti aktiv představují anualizované celkové úrokové náklady z vkladů a ostatních cizích zdrojů jako procento průměrných výnosných aktiv na konsolidovaném základě. Zdroj: </w:t>
      </w:r>
      <w:proofErr w:type="spellStart"/>
      <w:r w:rsidRPr="00FA710D">
        <w:rPr>
          <w:i/>
          <w:iCs/>
          <w:sz w:val="16"/>
          <w:szCs w:val="16"/>
        </w:rPr>
        <w:t>Bloomberg</w:t>
      </w:r>
      <w:proofErr w:type="spellEnd"/>
      <w:r w:rsidRPr="00FA710D">
        <w:rPr>
          <w:i/>
          <w:iCs/>
          <w:sz w:val="16"/>
          <w:szCs w:val="16"/>
        </w:rPr>
        <w:t xml:space="preserve">, FDIC; </w:t>
      </w:r>
      <w:proofErr w:type="spellStart"/>
      <w:r w:rsidRPr="00FA710D">
        <w:rPr>
          <w:i/>
          <w:iCs/>
          <w:sz w:val="16"/>
          <w:szCs w:val="16"/>
        </w:rPr>
        <w:t>Fidelity</w:t>
      </w:r>
      <w:proofErr w:type="spellEnd"/>
      <w:r w:rsidRPr="00FA710D">
        <w:rPr>
          <w:i/>
          <w:iCs/>
          <w:sz w:val="16"/>
          <w:szCs w:val="16"/>
        </w:rPr>
        <w:t xml:space="preserve"> International, březen 2023. </w:t>
      </w:r>
    </w:p>
    <w:p w14:paraId="08187AC0" w14:textId="4532EF12" w:rsidR="00832A31" w:rsidRPr="00832A31" w:rsidRDefault="00832A31" w:rsidP="00832A31">
      <w:pPr>
        <w:spacing w:after="210" w:line="240" w:lineRule="auto"/>
      </w:pPr>
      <w:r w:rsidRPr="00832A31">
        <w:t>Současná krize pravděpodobně nepřinese konec bankovního systému, jak ho známe. Mohla by však být začátkem nové kapitoly pro soukromé úvěry. To investorům umožní prozkoumat možná zajímavější dynamiku výnosů s ohledem na riziko.</w:t>
      </w:r>
    </w:p>
    <w:p w14:paraId="0CBAB0F0" w14:textId="77777777" w:rsidR="006D0805" w:rsidRPr="006D0805" w:rsidRDefault="006D0805" w:rsidP="006D0805">
      <w:pPr>
        <w:pStyle w:val="F2-zkladn"/>
      </w:pPr>
    </w:p>
    <w:p w14:paraId="5B0A755F" w14:textId="686FB4EF" w:rsidR="00725052" w:rsidRPr="00971187" w:rsidRDefault="00725052" w:rsidP="002C1698">
      <w:pPr>
        <w:spacing w:before="0" w:line="240" w:lineRule="atLeast"/>
        <w:rPr>
          <w:color w:val="000000" w:themeColor="text1"/>
        </w:rPr>
      </w:pPr>
      <w:r w:rsidRPr="00455A3C">
        <w:rPr>
          <w:b/>
        </w:rPr>
        <w:t>Pro více informací kontaktujte:</w:t>
      </w:r>
    </w:p>
    <w:p w14:paraId="3B45AF67" w14:textId="77777777" w:rsidR="00725052" w:rsidRPr="00455A3C" w:rsidRDefault="00725052" w:rsidP="002027ED">
      <w:pPr>
        <w:spacing w:before="0" w:line="360" w:lineRule="auto"/>
        <w:rPr>
          <w:b/>
        </w:rPr>
      </w:pP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4"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w:t>
      </w:r>
      <w:r w:rsidRPr="00D404D5">
        <w:rPr>
          <w:color w:val="000000"/>
          <w:lang w:eastAsia="en-US"/>
        </w:rPr>
        <w:lastRenderedPageBreak/>
        <w:t>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lastRenderedPageBreak/>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3F04084" w14:textId="34943BAC" w:rsidR="00594851" w:rsidRDefault="00922697" w:rsidP="002027ED">
      <w:pPr>
        <w:pStyle w:val="F2-zkladn"/>
      </w:pPr>
      <w:r>
        <w:t>MKAT</w:t>
      </w:r>
      <w:r w:rsidRPr="00922697">
        <w:t>11323</w:t>
      </w:r>
    </w:p>
    <w:p w14:paraId="0C902663" w14:textId="2E26E063" w:rsidR="00B42703" w:rsidRPr="00194285" w:rsidRDefault="00B42703" w:rsidP="002027ED">
      <w:pPr>
        <w:pStyle w:val="F2-zkladn"/>
        <w:rPr>
          <w:lang w:val="de-AT"/>
        </w:rPr>
      </w:pPr>
    </w:p>
    <w:sectPr w:rsidR="00B42703" w:rsidRPr="00194285"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431C7" w14:textId="77777777" w:rsidR="00BD0CA7" w:rsidRDefault="00BD0CA7">
      <w:r>
        <w:separator/>
      </w:r>
    </w:p>
  </w:endnote>
  <w:endnote w:type="continuationSeparator" w:id="0">
    <w:p w14:paraId="754B83B1" w14:textId="77777777" w:rsidR="00BD0CA7" w:rsidRDefault="00BD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B0DC" w14:textId="77777777" w:rsidR="00BD0CA7" w:rsidRDefault="00BD0CA7">
      <w:r>
        <w:separator/>
      </w:r>
    </w:p>
  </w:footnote>
  <w:footnote w:type="continuationSeparator" w:id="0">
    <w:p w14:paraId="14408CF6" w14:textId="77777777" w:rsidR="00BD0CA7" w:rsidRDefault="00BD0CA7">
      <w:r>
        <w:continuationSeparator/>
      </w:r>
    </w:p>
  </w:footnote>
  <w:footnote w:type="continuationNotice" w:id="1">
    <w:p w14:paraId="5D781F86" w14:textId="77777777" w:rsidR="00BD0CA7" w:rsidRDefault="00BD0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4"/>
  </w:num>
  <w:num w:numId="2" w16cid:durableId="1638339720">
    <w:abstractNumId w:val="20"/>
  </w:num>
  <w:num w:numId="3" w16cid:durableId="1582174134">
    <w:abstractNumId w:val="22"/>
  </w:num>
  <w:num w:numId="4" w16cid:durableId="1727561179">
    <w:abstractNumId w:val="16"/>
  </w:num>
  <w:num w:numId="5" w16cid:durableId="56979214">
    <w:abstractNumId w:val="17"/>
  </w:num>
  <w:num w:numId="6" w16cid:durableId="52699439">
    <w:abstractNumId w:val="15"/>
  </w:num>
  <w:num w:numId="7" w16cid:durableId="1526748972">
    <w:abstractNumId w:val="21"/>
  </w:num>
  <w:num w:numId="8" w16cid:durableId="1090007024">
    <w:abstractNumId w:val="18"/>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3"/>
  </w:num>
  <w:num w:numId="21" w16cid:durableId="1552955819">
    <w:abstractNumId w:val="19"/>
  </w:num>
  <w:num w:numId="22" w16cid:durableId="1722094048">
    <w:abstractNumId w:val="12"/>
  </w:num>
  <w:num w:numId="23" w16cid:durableId="147281990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253"/>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D58"/>
    <w:rsid w:val="003731A5"/>
    <w:rsid w:val="003736DA"/>
    <w:rsid w:val="00373731"/>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F4"/>
    <w:rsid w:val="0047275D"/>
    <w:rsid w:val="00475575"/>
    <w:rsid w:val="004761F2"/>
    <w:rsid w:val="00480C04"/>
    <w:rsid w:val="00480E25"/>
    <w:rsid w:val="00484668"/>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5B2D"/>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5383"/>
    <w:rsid w:val="006B6A37"/>
    <w:rsid w:val="006B6F61"/>
    <w:rsid w:val="006D0805"/>
    <w:rsid w:val="006D4517"/>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1A3A"/>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2A31"/>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1EEF"/>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1635"/>
    <w:rsid w:val="00AB297D"/>
    <w:rsid w:val="00AB7830"/>
    <w:rsid w:val="00AC031E"/>
    <w:rsid w:val="00AC31F2"/>
    <w:rsid w:val="00AC35C4"/>
    <w:rsid w:val="00AC4154"/>
    <w:rsid w:val="00AD18B4"/>
    <w:rsid w:val="00AD4FB0"/>
    <w:rsid w:val="00AD7F13"/>
    <w:rsid w:val="00AE117D"/>
    <w:rsid w:val="00AE1842"/>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5719"/>
    <w:rsid w:val="00CB596E"/>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26CD"/>
    <w:rsid w:val="00EB3306"/>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A53"/>
    <w:rsid w:val="00F61230"/>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1432</Words>
  <Characters>8455</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9868</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4</cp:revision>
  <cp:lastPrinted>2015-11-30T16:29:00Z</cp:lastPrinted>
  <dcterms:created xsi:type="dcterms:W3CDTF">2023-04-04T09:11:00Z</dcterms:created>
  <dcterms:modified xsi:type="dcterms:W3CDTF">2023-04-04T09:37:00Z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